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169D" w14:textId="26A81DCB" w:rsidR="00DF4604" w:rsidRPr="00DF4604" w:rsidRDefault="00DF4604" w:rsidP="008F748B">
      <w:pPr>
        <w:rPr>
          <w:i/>
          <w:iCs/>
        </w:rPr>
      </w:pPr>
      <w:r w:rsidRPr="00DF4604">
        <w:rPr>
          <w:i/>
          <w:iCs/>
        </w:rPr>
        <w:t>Primers</w:t>
      </w:r>
    </w:p>
    <w:p w14:paraId="5F6E5CC4" w14:textId="2CE6461D" w:rsidR="008F748B" w:rsidRDefault="008F748B" w:rsidP="008F748B">
      <w:r w:rsidRPr="00CC58D4">
        <w:t>Primers were designed</w:t>
      </w:r>
      <w:r w:rsidRPr="0098163D">
        <w:t xml:space="preserve"> using NCBI Primer-BLAST, with selection for ideal target specificity, PCR product size (less than 200 bp, and when possible less than 100 bp), primer annealing temperature (60</w:t>
      </w:r>
      <w:r w:rsidRPr="0098163D">
        <w:rPr>
          <w:rFonts w:cs="Times New Roman"/>
        </w:rPr>
        <w:t>°</w:t>
      </w:r>
      <w:r w:rsidRPr="0098163D">
        <w:t>C), and PCR product melting temperature (less than 93</w:t>
      </w:r>
      <w:r w:rsidRPr="0098163D">
        <w:rPr>
          <w:rFonts w:cs="Times New Roman"/>
        </w:rPr>
        <w:t>°</w:t>
      </w:r>
      <w:r w:rsidRPr="0098163D">
        <w:t>C). When possible, primers were designed to either span exon/intron junctions or have an intervening intron greater than 1000 base-pairs. Primers were experimentally validated for mRNA and target specificity and optimized for efficiency (92-99%) across 6-logs input template concentration.</w:t>
      </w:r>
      <w:r>
        <w:t xml:space="preserve"> </w:t>
      </w:r>
      <w:r w:rsidR="00DF4604" w:rsidRPr="009C4C50">
        <w:rPr>
          <w:b/>
          <w:bCs/>
        </w:rPr>
        <w:t xml:space="preserve">NOTE: </w:t>
      </w:r>
      <w:r w:rsidR="00DF4604" w:rsidRPr="009C4C50">
        <w:rPr>
          <w:u w:val="single"/>
        </w:rPr>
        <w:t>Some genes are single-exon and require genomic DNA digestion</w:t>
      </w:r>
      <w:r w:rsidR="00137370" w:rsidRPr="009C4C50">
        <w:rPr>
          <w:u w:val="single"/>
        </w:rPr>
        <w:t xml:space="preserve"> prior to cDNA generation</w:t>
      </w:r>
      <w:r w:rsidR="00DF4604" w:rsidRPr="009C4C50">
        <w:rPr>
          <w:u w:val="single"/>
        </w:rPr>
        <w:t xml:space="preserve"> for accurate mRNA expression analysis.</w:t>
      </w:r>
      <w:r w:rsidR="00DF4604">
        <w:t xml:space="preserve"> </w:t>
      </w:r>
      <w:bookmarkStart w:id="0" w:name="_GoBack"/>
      <w:bookmarkEnd w:id="0"/>
    </w:p>
    <w:p w14:paraId="3F58CFA6" w14:textId="77777777" w:rsidR="00DF4604" w:rsidRDefault="00DF4604" w:rsidP="00DF4604">
      <w:r w:rsidRPr="008F748B">
        <w:rPr>
          <w:i/>
        </w:rPr>
        <w:t>Quantitative PCR</w:t>
      </w:r>
    </w:p>
    <w:p w14:paraId="54C53C3E" w14:textId="4A9292F3" w:rsidR="00DF4604" w:rsidRDefault="00DF4604" w:rsidP="008F748B">
      <w:pPr>
        <w:rPr>
          <w:b/>
          <w:bCs/>
        </w:rPr>
      </w:pPr>
      <w:r w:rsidRPr="00D52323">
        <w:t xml:space="preserve">PCR reactions consisted of 1X </w:t>
      </w:r>
      <w:proofErr w:type="spellStart"/>
      <w:r w:rsidRPr="00D52323">
        <w:t>PowerUp</w:t>
      </w:r>
      <w:proofErr w:type="spellEnd"/>
      <w:r w:rsidRPr="00D52323">
        <w:t xml:space="preserve"> SYBR Green Master Mix</w:t>
      </w:r>
      <w:r w:rsidRPr="00D52323">
        <w:rPr>
          <w:bCs/>
        </w:rPr>
        <w:t xml:space="preserve"> (Thermo Fisher Scientific)</w:t>
      </w:r>
      <w:r w:rsidRPr="00D52323">
        <w:t xml:space="preserve">, 0.5 </w:t>
      </w:r>
      <w:proofErr w:type="spellStart"/>
      <w:r w:rsidRPr="00D52323">
        <w:t>μM</w:t>
      </w:r>
      <w:proofErr w:type="spellEnd"/>
      <w:r w:rsidRPr="00D52323">
        <w:t xml:space="preserve"> forward and reverse primers, 5-20 ng cDNA (mRNA analysis) or 25-50 ng DNA (mitochondrial </w:t>
      </w:r>
      <w:r>
        <w:t xml:space="preserve">or genomic </w:t>
      </w:r>
      <w:r w:rsidRPr="00D52323">
        <w:t xml:space="preserve">DNA analysis) in a total reaction volume of 10 </w:t>
      </w:r>
      <w:proofErr w:type="spellStart"/>
      <w:r w:rsidRPr="00D52323">
        <w:t>μL</w:t>
      </w:r>
      <w:proofErr w:type="spellEnd"/>
      <w:r w:rsidRPr="00D52323">
        <w:t xml:space="preserve">. Reactions were amplified as technical duplicates or triplicates on a </w:t>
      </w:r>
      <w:proofErr w:type="spellStart"/>
      <w:r w:rsidRPr="00D52323">
        <w:t>QuantStudio</w:t>
      </w:r>
      <w:proofErr w:type="spellEnd"/>
      <w:r w:rsidRPr="00D52323">
        <w:t xml:space="preserve"> 3 real-time PCR system (</w:t>
      </w:r>
      <w:r w:rsidRPr="00D52323">
        <w:rPr>
          <w:bCs/>
        </w:rPr>
        <w:t>Thermo Fisher Scientific)</w:t>
      </w:r>
      <w:r>
        <w:rPr>
          <w:bCs/>
        </w:rPr>
        <w:t>. The instrument cover was set to 105</w:t>
      </w:r>
      <w:r>
        <w:rPr>
          <w:rFonts w:cs="Times New Roman"/>
          <w:bCs/>
        </w:rPr>
        <w:t>°</w:t>
      </w:r>
      <w:r>
        <w:rPr>
          <w:bCs/>
        </w:rPr>
        <w:t>C and the PCR program included a hold stage</w:t>
      </w:r>
      <w:r w:rsidR="00137370">
        <w:rPr>
          <w:bCs/>
        </w:rPr>
        <w:t xml:space="preserve"> for a UNG enzyme activity</w:t>
      </w:r>
      <w:r>
        <w:rPr>
          <w:bCs/>
        </w:rPr>
        <w:t xml:space="preserve"> (1 cycle: 50</w:t>
      </w:r>
      <w:r>
        <w:rPr>
          <w:rFonts w:cs="Times New Roman"/>
          <w:bCs/>
        </w:rPr>
        <w:t>°</w:t>
      </w:r>
      <w:r>
        <w:rPr>
          <w:bCs/>
        </w:rPr>
        <w:t>C/2 min, 95</w:t>
      </w:r>
      <w:r>
        <w:rPr>
          <w:rFonts w:cs="Times New Roman"/>
          <w:bCs/>
        </w:rPr>
        <w:t>°</w:t>
      </w:r>
      <w:r>
        <w:rPr>
          <w:bCs/>
        </w:rPr>
        <w:t>C/2 min), a PCR stage (45 cycles: 95</w:t>
      </w:r>
      <w:r>
        <w:rPr>
          <w:rFonts w:cs="Times New Roman"/>
          <w:bCs/>
        </w:rPr>
        <w:t>°</w:t>
      </w:r>
      <w:r>
        <w:rPr>
          <w:bCs/>
        </w:rPr>
        <w:t>C/1 sec, 60</w:t>
      </w:r>
      <w:r>
        <w:rPr>
          <w:rFonts w:cs="Times New Roman"/>
          <w:bCs/>
        </w:rPr>
        <w:t>°</w:t>
      </w:r>
      <w:r>
        <w:rPr>
          <w:bCs/>
        </w:rPr>
        <w:t>C/20 sec with data collection), and a final melting curve stage (95</w:t>
      </w:r>
      <w:r>
        <w:rPr>
          <w:rFonts w:cs="Times New Roman"/>
          <w:bCs/>
        </w:rPr>
        <w:t>°</w:t>
      </w:r>
      <w:r>
        <w:rPr>
          <w:bCs/>
        </w:rPr>
        <w:t>C/1 sec, 60</w:t>
      </w:r>
      <w:r>
        <w:rPr>
          <w:rFonts w:cs="Times New Roman"/>
          <w:bCs/>
        </w:rPr>
        <w:t>°</w:t>
      </w:r>
      <w:r>
        <w:rPr>
          <w:bCs/>
        </w:rPr>
        <w:t>C/20 sec, 95</w:t>
      </w:r>
      <w:r>
        <w:rPr>
          <w:rFonts w:cs="Times New Roman"/>
          <w:bCs/>
        </w:rPr>
        <w:t>°</w:t>
      </w:r>
      <w:r>
        <w:rPr>
          <w:bCs/>
        </w:rPr>
        <w:t>C/1 sec with a temperature transition of 0.15</w:t>
      </w:r>
      <w:r>
        <w:rPr>
          <w:rFonts w:cs="Times New Roman"/>
          <w:bCs/>
        </w:rPr>
        <w:t>°</w:t>
      </w:r>
      <w:r>
        <w:rPr>
          <w:bCs/>
        </w:rPr>
        <w:t>C/sec and continuous data acquisition during the melting transition)</w:t>
      </w:r>
      <w:r w:rsidRPr="00D52323">
        <w:t xml:space="preserve">. Data were analyzed using the Thermo Fisher Cloud analysis platform with an efficiency-corrected relative quantification (2^ΔΔCq) methodology utilizing </w:t>
      </w:r>
      <w:proofErr w:type="spellStart"/>
      <w:r w:rsidRPr="00D52323">
        <w:rPr>
          <w:i/>
        </w:rPr>
        <w:t>Tbp</w:t>
      </w:r>
      <w:proofErr w:type="spellEnd"/>
      <w:r w:rsidRPr="00D52323">
        <w:t xml:space="preserve"> as a reference gene for mRNA analysis.</w:t>
      </w:r>
    </w:p>
    <w:p w14:paraId="61ABADF7" w14:textId="1F73FDF6" w:rsidR="00271372" w:rsidRPr="008F748B" w:rsidRDefault="00271372">
      <w:pPr>
        <w:rPr>
          <w:b/>
          <w:bCs/>
        </w:rPr>
      </w:pPr>
    </w:p>
    <w:sectPr w:rsidR="00271372" w:rsidRPr="008F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43345"/>
    <w:multiLevelType w:val="multilevel"/>
    <w:tmpl w:val="5DC269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Times New Roman" w:eastAsiaTheme="minorHAnsi" w:hAnsi="Times New Roman" w:cstheme="min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8B"/>
    <w:rsid w:val="00137370"/>
    <w:rsid w:val="00271372"/>
    <w:rsid w:val="008F748B"/>
    <w:rsid w:val="009C4C50"/>
    <w:rsid w:val="00A0768F"/>
    <w:rsid w:val="00D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3D6C"/>
  <w15:chartTrackingRefBased/>
  <w15:docId w15:val="{6813DE63-2ABC-4214-8B33-D69CE060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748B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48B"/>
    <w:pPr>
      <w:pageBreakBefore/>
      <w:numPr>
        <w:numId w:val="1"/>
      </w:numPr>
      <w:spacing w:before="1440" w:after="360" w:line="240" w:lineRule="auto"/>
      <w:outlineLvl w:val="0"/>
    </w:pPr>
    <w:rPr>
      <w:b/>
      <w:bCs/>
      <w:cap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48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48B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48B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48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48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48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48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48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48B"/>
    <w:rPr>
      <w:b/>
      <w:bCs/>
      <w:cap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8F748B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748B"/>
    <w:rPr>
      <w:rFonts w:eastAsiaTheme="majorEastAsia" w:cstheme="majorBidi"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748B"/>
    <w:rPr>
      <w:rFonts w:eastAsiaTheme="majorEastAsia" w:cstheme="majorBidi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4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4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4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4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Farrar</dc:creator>
  <cp:keywords/>
  <dc:description/>
  <cp:lastModifiedBy>Jared Farrar</cp:lastModifiedBy>
  <cp:revision>2</cp:revision>
  <dcterms:created xsi:type="dcterms:W3CDTF">2020-03-14T19:18:00Z</dcterms:created>
  <dcterms:modified xsi:type="dcterms:W3CDTF">2020-03-14T19:42:00Z</dcterms:modified>
</cp:coreProperties>
</file>